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FF07D" w14:textId="77777777" w:rsidR="00165EB4" w:rsidRPr="00716E01" w:rsidRDefault="00165EB4" w:rsidP="00165EB4">
      <w:pPr>
        <w:tabs>
          <w:tab w:val="left" w:pos="0"/>
        </w:tabs>
        <w:suppressAutoHyphens/>
        <w:autoSpaceDN w:val="0"/>
        <w:spacing w:before="120" w:after="120" w:line="240" w:lineRule="auto"/>
        <w:ind w:left="720"/>
        <w:jc w:val="right"/>
        <w:textAlignment w:val="baseline"/>
        <w:rPr>
          <w:rFonts w:ascii="Times New Roman" w:eastAsia="Times New Roman" w:hAnsi="Times New Roman" w:cs="Times New Roman"/>
          <w:noProof/>
          <w:sz w:val="20"/>
          <w:szCs w:val="20"/>
        </w:rPr>
      </w:pPr>
      <w:r w:rsidRPr="00716E01">
        <w:rPr>
          <w:rFonts w:ascii="Times New Roman" w:eastAsia="Times New Roman" w:hAnsi="Times New Roman" w:cs="Times New Roman"/>
          <w:noProof/>
          <w:sz w:val="20"/>
          <w:szCs w:val="20"/>
        </w:rPr>
        <w:t>2.pielikums</w:t>
      </w:r>
    </w:p>
    <w:p w14:paraId="3AD9CCBE" w14:textId="77777777" w:rsidR="00165EB4" w:rsidRPr="00716E01" w:rsidRDefault="00716E01" w:rsidP="00165EB4">
      <w:pPr>
        <w:suppressAutoHyphens/>
        <w:autoSpaceDN w:val="0"/>
        <w:spacing w:before="120" w:after="120" w:line="240" w:lineRule="auto"/>
        <w:jc w:val="right"/>
        <w:textAlignment w:val="baseline"/>
        <w:rPr>
          <w:rFonts w:ascii="Times New Roman" w:eastAsia="Times New Roman" w:hAnsi="Times New Roman" w:cs="Times New Roman"/>
          <w:sz w:val="20"/>
          <w:szCs w:val="20"/>
        </w:rPr>
      </w:pPr>
      <w:r w:rsidRPr="00716E01">
        <w:rPr>
          <w:rFonts w:ascii="Times New Roman" w:eastAsia="Times New Roman" w:hAnsi="Times New Roman" w:cs="Times New Roman"/>
          <w:sz w:val="20"/>
          <w:szCs w:val="20"/>
        </w:rPr>
        <w:t>SIA “Bauskas slimnīca”</w:t>
      </w:r>
    </w:p>
    <w:p w14:paraId="50906CFD" w14:textId="16EDC723" w:rsidR="00165EB4" w:rsidRPr="00716E01" w:rsidRDefault="00716E01" w:rsidP="00165EB4">
      <w:pPr>
        <w:widowControl w:val="0"/>
        <w:autoSpaceDE w:val="0"/>
        <w:autoSpaceDN w:val="0"/>
        <w:adjustRightInd w:val="0"/>
        <w:spacing w:before="120" w:after="120" w:line="276" w:lineRule="auto"/>
        <w:jc w:val="right"/>
        <w:rPr>
          <w:rFonts w:ascii="Times New Roman" w:eastAsia="Times New Roman" w:hAnsi="Times New Roman" w:cs="Times New Roman"/>
          <w:sz w:val="20"/>
          <w:szCs w:val="20"/>
        </w:rPr>
      </w:pPr>
      <w:r w:rsidRPr="00716E01">
        <w:rPr>
          <w:rFonts w:ascii="Times New Roman" w:eastAsia="Times New Roman" w:hAnsi="Times New Roman" w:cs="Times New Roman"/>
          <w:sz w:val="20"/>
          <w:szCs w:val="20"/>
        </w:rPr>
        <w:t>c</w:t>
      </w:r>
      <w:r w:rsidR="00165EB4" w:rsidRPr="00716E01">
        <w:rPr>
          <w:rFonts w:ascii="Times New Roman" w:eastAsia="Times New Roman" w:hAnsi="Times New Roman" w:cs="Times New Roman"/>
          <w:sz w:val="20"/>
          <w:szCs w:val="20"/>
        </w:rPr>
        <w:t>enu aptauja</w:t>
      </w:r>
      <w:r w:rsidRPr="00716E01">
        <w:rPr>
          <w:rFonts w:ascii="Times New Roman" w:eastAsia="Times New Roman" w:hAnsi="Times New Roman" w:cs="Times New Roman"/>
          <w:sz w:val="20"/>
          <w:szCs w:val="20"/>
        </w:rPr>
        <w:t>s</w:t>
      </w:r>
      <w:r w:rsidR="00165EB4" w:rsidRPr="00716E01">
        <w:rPr>
          <w:rFonts w:ascii="Times New Roman" w:eastAsia="Times New Roman" w:hAnsi="Times New Roman" w:cs="Times New Roman"/>
          <w:sz w:val="20"/>
          <w:szCs w:val="20"/>
        </w:rPr>
        <w:t xml:space="preserve"> Nr. BS 2024</w:t>
      </w:r>
      <w:r w:rsidR="00F903D2">
        <w:rPr>
          <w:rFonts w:ascii="Times New Roman" w:eastAsia="Times New Roman" w:hAnsi="Times New Roman" w:cs="Times New Roman"/>
          <w:sz w:val="20"/>
          <w:szCs w:val="20"/>
        </w:rPr>
        <w:t xml:space="preserve">/52-C </w:t>
      </w:r>
      <w:r w:rsidR="00165EB4" w:rsidRPr="00716E01">
        <w:rPr>
          <w:rFonts w:ascii="Times New Roman" w:eastAsia="Times New Roman" w:hAnsi="Times New Roman" w:cs="Times New Roman"/>
          <w:sz w:val="20"/>
          <w:szCs w:val="20"/>
        </w:rPr>
        <w:t>nolikumam</w:t>
      </w:r>
    </w:p>
    <w:p w14:paraId="4FB20931" w14:textId="77777777" w:rsidR="00716E01" w:rsidRPr="00716E01" w:rsidRDefault="00716E01" w:rsidP="00165EB4">
      <w:pPr>
        <w:widowControl w:val="0"/>
        <w:autoSpaceDE w:val="0"/>
        <w:autoSpaceDN w:val="0"/>
        <w:adjustRightInd w:val="0"/>
        <w:spacing w:before="120" w:after="120" w:line="276" w:lineRule="auto"/>
        <w:jc w:val="right"/>
        <w:rPr>
          <w:rFonts w:ascii="Times New Roman" w:eastAsia="Calibri" w:hAnsi="Times New Roman" w:cs="Times New Roman"/>
          <w:bCs/>
          <w:sz w:val="20"/>
          <w:szCs w:val="20"/>
          <w:lang w:eastAsia="lv-LV"/>
        </w:rPr>
      </w:pPr>
      <w:r w:rsidRPr="00716E01">
        <w:rPr>
          <w:rFonts w:ascii="Times New Roman" w:eastAsia="Calibri" w:hAnsi="Times New Roman" w:cs="Times New Roman"/>
          <w:bCs/>
          <w:sz w:val="20"/>
          <w:szCs w:val="20"/>
          <w:lang w:eastAsia="lv-LV"/>
        </w:rPr>
        <w:t>“Tehniskās apkopes, remonta pakalpojumi un rezerves daļu iegāde SIA “Bauskas slimnīca” autotransportam”</w:t>
      </w:r>
    </w:p>
    <w:p w14:paraId="7C176A20" w14:textId="77777777" w:rsidR="00165EB4" w:rsidRDefault="00165EB4" w:rsidP="00165EB4">
      <w:pPr>
        <w:widowControl w:val="0"/>
        <w:autoSpaceDE w:val="0"/>
        <w:autoSpaceDN w:val="0"/>
        <w:adjustRightInd w:val="0"/>
        <w:spacing w:before="120" w:after="120" w:line="276" w:lineRule="auto"/>
        <w:jc w:val="center"/>
        <w:rPr>
          <w:rFonts w:ascii="Times New Roman" w:eastAsia="Calibri" w:hAnsi="Times New Roman" w:cs="Times New Roman"/>
          <w:b/>
          <w:bCs/>
          <w:sz w:val="24"/>
          <w:szCs w:val="24"/>
          <w:lang w:eastAsia="lv-LV"/>
        </w:rPr>
      </w:pPr>
    </w:p>
    <w:p w14:paraId="294F38D9" w14:textId="77777777" w:rsidR="00716E01" w:rsidRDefault="00716E01" w:rsidP="00165EB4">
      <w:pPr>
        <w:widowControl w:val="0"/>
        <w:autoSpaceDE w:val="0"/>
        <w:autoSpaceDN w:val="0"/>
        <w:adjustRightInd w:val="0"/>
        <w:spacing w:before="120" w:after="120" w:line="276" w:lineRule="auto"/>
        <w:jc w:val="center"/>
        <w:rPr>
          <w:rFonts w:ascii="Times New Roman" w:eastAsia="Calibri" w:hAnsi="Times New Roman" w:cs="Times New Roman"/>
          <w:b/>
          <w:bCs/>
          <w:sz w:val="24"/>
          <w:szCs w:val="24"/>
          <w:lang w:eastAsia="lv-LV"/>
        </w:rPr>
      </w:pPr>
    </w:p>
    <w:p w14:paraId="5F44B3F9" w14:textId="77777777" w:rsidR="00165EB4" w:rsidRPr="00911567" w:rsidRDefault="00165EB4" w:rsidP="00165EB4">
      <w:pPr>
        <w:widowControl w:val="0"/>
        <w:autoSpaceDE w:val="0"/>
        <w:autoSpaceDN w:val="0"/>
        <w:adjustRightInd w:val="0"/>
        <w:spacing w:before="120" w:after="120" w:line="240" w:lineRule="auto"/>
        <w:jc w:val="center"/>
        <w:rPr>
          <w:rFonts w:ascii="Times New Roman" w:eastAsia="Calibri" w:hAnsi="Times New Roman" w:cs="Times New Roman"/>
          <w:b/>
          <w:bCs/>
          <w:sz w:val="24"/>
          <w:szCs w:val="24"/>
          <w:lang w:eastAsia="lv-LV"/>
        </w:rPr>
      </w:pPr>
      <w:r w:rsidRPr="00911567">
        <w:rPr>
          <w:rFonts w:ascii="Times New Roman" w:eastAsia="Calibri" w:hAnsi="Times New Roman" w:cs="Times New Roman"/>
          <w:b/>
          <w:bCs/>
          <w:sz w:val="24"/>
          <w:szCs w:val="24"/>
          <w:lang w:eastAsia="lv-LV"/>
        </w:rPr>
        <w:t>TEHNISKĀ SPECIFIKĀCIJA</w:t>
      </w:r>
      <w:r>
        <w:rPr>
          <w:rFonts w:ascii="Times New Roman" w:eastAsia="Calibri" w:hAnsi="Times New Roman" w:cs="Times New Roman"/>
          <w:b/>
          <w:bCs/>
          <w:sz w:val="24"/>
          <w:szCs w:val="24"/>
          <w:lang w:eastAsia="lv-LV"/>
        </w:rPr>
        <w:t>/PIEDĀVĀJUMS</w:t>
      </w:r>
    </w:p>
    <w:p w14:paraId="69B93ACF" w14:textId="378EA9C9" w:rsidR="00165EB4" w:rsidRDefault="00165EB4" w:rsidP="00165EB4">
      <w:pPr>
        <w:suppressAutoHyphens/>
        <w:autoSpaceDN w:val="0"/>
        <w:spacing w:before="120" w:after="120" w:line="240" w:lineRule="auto"/>
        <w:jc w:val="center"/>
        <w:textAlignment w:val="baseline"/>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Cenu aptauja</w:t>
      </w:r>
      <w:r w:rsidRPr="00911567">
        <w:rPr>
          <w:rFonts w:ascii="Times New Roman" w:eastAsia="Times New Roman" w:hAnsi="Times New Roman" w:cs="Times New Roman"/>
          <w:noProof/>
          <w:sz w:val="24"/>
          <w:szCs w:val="24"/>
        </w:rPr>
        <w:t xml:space="preserve"> Nr. </w:t>
      </w:r>
      <w:bookmarkStart w:id="0" w:name="_Hlk514752820"/>
      <w:r w:rsidRPr="00F903D2">
        <w:rPr>
          <w:rFonts w:ascii="Times New Roman" w:eastAsia="Times New Roman" w:hAnsi="Times New Roman" w:cs="Times New Roman"/>
          <w:noProof/>
          <w:sz w:val="24"/>
          <w:szCs w:val="24"/>
        </w:rPr>
        <w:t>BS 2024</w:t>
      </w:r>
      <w:r w:rsidR="00F903D2" w:rsidRPr="00F903D2">
        <w:rPr>
          <w:rFonts w:ascii="Times New Roman" w:eastAsia="Times New Roman" w:hAnsi="Times New Roman" w:cs="Times New Roman"/>
          <w:noProof/>
          <w:sz w:val="24"/>
          <w:szCs w:val="24"/>
        </w:rPr>
        <w:t>/52</w:t>
      </w:r>
      <w:r w:rsidR="00F903D2">
        <w:rPr>
          <w:rFonts w:ascii="Times New Roman" w:eastAsia="Times New Roman" w:hAnsi="Times New Roman" w:cs="Times New Roman"/>
          <w:noProof/>
          <w:sz w:val="24"/>
          <w:szCs w:val="24"/>
        </w:rPr>
        <w:t>-C</w:t>
      </w:r>
    </w:p>
    <w:p w14:paraId="021211DC" w14:textId="77777777" w:rsidR="00165EB4" w:rsidRDefault="00165EB4" w:rsidP="00165EB4">
      <w:pPr>
        <w:suppressAutoHyphens/>
        <w:autoSpaceDN w:val="0"/>
        <w:spacing w:before="120" w:after="120" w:line="240" w:lineRule="auto"/>
        <w:jc w:val="center"/>
        <w:textAlignment w:val="baseline"/>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w:t>
      </w:r>
      <w:r w:rsidRPr="00165EB4">
        <w:rPr>
          <w:rFonts w:ascii="Times New Roman" w:eastAsia="Times New Roman" w:hAnsi="Times New Roman" w:cs="Times New Roman"/>
          <w:b/>
          <w:sz w:val="24"/>
          <w:szCs w:val="24"/>
          <w:lang w:eastAsia="lv-LV" w:bidi="lo-LA"/>
        </w:rPr>
        <w:t>Tehniskās apkopes, remonta pakalpojumi un rezerves daļu iegāde SIA “Bauskas slimnīca”</w:t>
      </w:r>
      <w:r>
        <w:rPr>
          <w:rFonts w:ascii="Times New Roman" w:eastAsia="Times New Roman" w:hAnsi="Times New Roman" w:cs="Times New Roman"/>
          <w:b/>
          <w:sz w:val="24"/>
          <w:szCs w:val="24"/>
          <w:lang w:eastAsia="lv-LV" w:bidi="lo-LA"/>
        </w:rPr>
        <w:t xml:space="preserve"> </w:t>
      </w:r>
      <w:r w:rsidRPr="00165EB4">
        <w:rPr>
          <w:rFonts w:ascii="Times New Roman" w:eastAsia="Times New Roman" w:hAnsi="Times New Roman" w:cs="Times New Roman"/>
          <w:b/>
          <w:sz w:val="24"/>
          <w:szCs w:val="24"/>
          <w:lang w:eastAsia="lv-LV" w:bidi="lo-LA"/>
        </w:rPr>
        <w:t>autotransportam</w:t>
      </w:r>
      <w:r>
        <w:rPr>
          <w:rFonts w:ascii="Times New Roman" w:eastAsia="Times New Roman" w:hAnsi="Times New Roman" w:cs="Times New Roman"/>
          <w:b/>
          <w:sz w:val="24"/>
          <w:szCs w:val="24"/>
          <w:lang w:eastAsia="lv-LV" w:bidi="lo-LA"/>
        </w:rPr>
        <w:t>”</w:t>
      </w:r>
    </w:p>
    <w:p w14:paraId="0A43E5AA" w14:textId="77777777" w:rsidR="00165EB4" w:rsidRPr="00911567" w:rsidRDefault="00165EB4" w:rsidP="00165EB4">
      <w:pPr>
        <w:suppressAutoHyphens/>
        <w:autoSpaceDN w:val="0"/>
        <w:spacing w:before="120" w:after="120" w:line="240" w:lineRule="auto"/>
        <w:jc w:val="center"/>
        <w:textAlignment w:val="baseline"/>
        <w:rPr>
          <w:rFonts w:ascii="Times New Roman" w:eastAsia="Times New Roman" w:hAnsi="Times New Roman" w:cs="Times New Roman"/>
          <w:b/>
          <w:sz w:val="24"/>
          <w:szCs w:val="24"/>
          <w:lang w:eastAsia="lv-LV" w:bidi="lo-LA"/>
        </w:rPr>
      </w:pPr>
    </w:p>
    <w:bookmarkEnd w:id="0"/>
    <w:p w14:paraId="69CE5BD6" w14:textId="77777777" w:rsidR="00165EB4" w:rsidRPr="005F74BE" w:rsidRDefault="00165EB4" w:rsidP="00165EB4">
      <w:pPr>
        <w:numPr>
          <w:ilvl w:val="0"/>
          <w:numId w:val="1"/>
        </w:numPr>
        <w:spacing w:before="120" w:after="120" w:line="240" w:lineRule="auto"/>
        <w:ind w:left="567" w:hanging="567"/>
        <w:jc w:val="both"/>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bCs/>
          <w:noProof/>
          <w:sz w:val="24"/>
          <w:szCs w:val="24"/>
          <w:lang w:eastAsia="lv-LV"/>
        </w:rPr>
        <w:t xml:space="preserve">Uzdevums: veikt tehniskās apkopes, remonta pakalpojumus un nodrošināt rezerves daļu iegādi, turpmāk – Pakalpojums, </w:t>
      </w:r>
      <w:r w:rsidRPr="00165EB4">
        <w:rPr>
          <w:rFonts w:ascii="Times New Roman" w:eastAsia="Times New Roman" w:hAnsi="Times New Roman" w:cs="Times New Roman"/>
          <w:bCs/>
          <w:sz w:val="24"/>
          <w:szCs w:val="24"/>
          <w:lang w:eastAsia="lv-LV" w:bidi="lo-LA"/>
        </w:rPr>
        <w:t>SIA “Bauskas slimnīca”</w:t>
      </w:r>
      <w:r>
        <w:rPr>
          <w:rFonts w:ascii="Times New Roman" w:eastAsia="Times New Roman" w:hAnsi="Times New Roman" w:cs="Times New Roman"/>
          <w:bCs/>
          <w:sz w:val="24"/>
          <w:szCs w:val="24"/>
          <w:lang w:eastAsia="lv-LV" w:bidi="lo-LA"/>
        </w:rPr>
        <w:t xml:space="preserve"> </w:t>
      </w:r>
      <w:r w:rsidRPr="005F74BE">
        <w:rPr>
          <w:rFonts w:ascii="Times New Roman" w:eastAsia="Times New Roman" w:hAnsi="Times New Roman" w:cs="Times New Roman"/>
          <w:bCs/>
          <w:sz w:val="24"/>
          <w:szCs w:val="24"/>
          <w:lang w:eastAsia="lv-LV" w:bidi="lo-LA"/>
        </w:rPr>
        <w:t>autotransportam</w:t>
      </w:r>
      <w:r w:rsidRPr="005F74BE">
        <w:rPr>
          <w:rFonts w:ascii="Times New Roman" w:eastAsia="Times New Roman" w:hAnsi="Times New Roman" w:cs="Times New Roman"/>
          <w:bCs/>
          <w:sz w:val="24"/>
          <w:szCs w:val="24"/>
          <w:lang w:eastAsia="lv-LV"/>
        </w:rPr>
        <w:t>,</w:t>
      </w:r>
      <w:r w:rsidRPr="005F74BE">
        <w:rPr>
          <w:rFonts w:ascii="Times New Roman" w:eastAsia="Times New Roman" w:hAnsi="Times New Roman" w:cs="Times New Roman"/>
          <w:sz w:val="24"/>
          <w:szCs w:val="24"/>
          <w:lang w:eastAsia="lv-LV"/>
        </w:rPr>
        <w:t xml:space="preserve"> lai nodrošinātu Pasūtītāja </w:t>
      </w:r>
      <w:bookmarkStart w:id="1" w:name="_Hlk115870340"/>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w:t>
      </w:r>
      <w:bookmarkEnd w:id="1"/>
      <w:r w:rsidRPr="005F74BE">
        <w:rPr>
          <w:rFonts w:ascii="Times New Roman" w:eastAsia="Times New Roman" w:hAnsi="Times New Roman" w:cs="Times New Roman"/>
          <w:sz w:val="24"/>
          <w:szCs w:val="24"/>
          <w:lang w:eastAsia="lv-LV"/>
        </w:rPr>
        <w:t>pilnvērtīgu darbību atbilstoši satiksmes drošības normām:</w:t>
      </w:r>
    </w:p>
    <w:p w14:paraId="2CA6109A" w14:textId="77777777" w:rsidR="00165EB4" w:rsidRPr="005F74BE" w:rsidRDefault="00165EB4" w:rsidP="00165EB4">
      <w:pPr>
        <w:pStyle w:val="Sarakstarindkopa"/>
        <w:numPr>
          <w:ilvl w:val="1"/>
          <w:numId w:val="4"/>
        </w:numPr>
        <w:spacing w:before="120" w:after="120"/>
        <w:ind w:left="1134" w:hanging="567"/>
        <w:contextualSpacing w:val="0"/>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bCs/>
          <w:noProof/>
          <w:sz w:val="24"/>
          <w:szCs w:val="24"/>
          <w:lang w:eastAsia="lv-LV"/>
        </w:rPr>
        <w:t xml:space="preserve">Pretendentam jānodrošina automašīnu rezerves daļu pārdošanu, kas nepieciešamas Pasūtītāja automašīnu pilnvērtīgai darbībai. </w:t>
      </w:r>
    </w:p>
    <w:p w14:paraId="79D7B5C4" w14:textId="77777777" w:rsidR="00165EB4" w:rsidRPr="005F74BE" w:rsidRDefault="00165EB4" w:rsidP="00165EB4">
      <w:pPr>
        <w:pStyle w:val="Sarakstarindkopa"/>
        <w:numPr>
          <w:ilvl w:val="1"/>
          <w:numId w:val="4"/>
        </w:numPr>
        <w:spacing w:before="120" w:after="120"/>
        <w:ind w:left="1134" w:hanging="567"/>
        <w:contextualSpacing w:val="0"/>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bCs/>
          <w:noProof/>
          <w:sz w:val="24"/>
          <w:szCs w:val="24"/>
          <w:lang w:eastAsia="lv-LV"/>
        </w:rPr>
        <w:t xml:space="preserve">Pretendentam jānodrošina automašīnu tehniskās apkopes un remontu veikšana pēc Pasūtītāja pieprasījuma Pretendenta piedāvātajā servisa centrā. </w:t>
      </w:r>
    </w:p>
    <w:p w14:paraId="63650787" w14:textId="77777777" w:rsidR="00165EB4" w:rsidRPr="005F74BE" w:rsidRDefault="00165EB4" w:rsidP="00165EB4">
      <w:pPr>
        <w:pStyle w:val="Sarakstarindkopa"/>
        <w:numPr>
          <w:ilvl w:val="1"/>
          <w:numId w:val="4"/>
        </w:numPr>
        <w:spacing w:before="120" w:after="120" w:line="240" w:lineRule="auto"/>
        <w:ind w:left="1134" w:hanging="567"/>
        <w:contextualSpacing w:val="0"/>
        <w:jc w:val="both"/>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bCs/>
          <w:noProof/>
          <w:sz w:val="24"/>
          <w:szCs w:val="24"/>
          <w:lang w:eastAsia="lv-LV"/>
        </w:rPr>
        <w:t xml:space="preserve">Pretendents automašīnu apkopes vai remonta veikšanu uzsāk ne vēlāk kā 24 (divdesmit četru) stundu laikā pēc Pasūtītāja pieteikuma saņemšanas </w:t>
      </w:r>
    </w:p>
    <w:p w14:paraId="35DEB277" w14:textId="77777777" w:rsidR="00165EB4" w:rsidRPr="005F74BE" w:rsidRDefault="00165EB4" w:rsidP="00165EB4">
      <w:pPr>
        <w:pStyle w:val="Sarakstarindkopa"/>
        <w:numPr>
          <w:ilvl w:val="1"/>
          <w:numId w:val="4"/>
        </w:numPr>
        <w:spacing w:before="120" w:after="120" w:line="240" w:lineRule="auto"/>
        <w:ind w:left="1134" w:hanging="567"/>
        <w:contextualSpacing w:val="0"/>
        <w:jc w:val="both"/>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bCs/>
          <w:noProof/>
          <w:sz w:val="24"/>
          <w:szCs w:val="24"/>
          <w:lang w:eastAsia="lv-LV"/>
        </w:rPr>
        <w:t xml:space="preserve">Pretendentam jānodrošina tirdzniecības vietā neesošo rezerves daļu piegādi ne vēlāk kā 5 (piecu) darba dienu laikā no pasūtījuma veikšanas brīža. </w:t>
      </w:r>
    </w:p>
    <w:p w14:paraId="3B7152B4" w14:textId="77777777" w:rsidR="00165EB4" w:rsidRPr="005F74BE" w:rsidRDefault="00165EB4" w:rsidP="00165EB4">
      <w:pPr>
        <w:numPr>
          <w:ilvl w:val="0"/>
          <w:numId w:val="1"/>
        </w:numPr>
        <w:spacing w:before="120" w:after="120" w:line="240" w:lineRule="auto"/>
        <w:ind w:left="284" w:hanging="284"/>
        <w:jc w:val="both"/>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bCs/>
          <w:noProof/>
          <w:sz w:val="24"/>
          <w:szCs w:val="24"/>
          <w:lang w:eastAsia="lv-LV"/>
        </w:rPr>
        <w:t xml:space="preserve"> saraksts*:</w:t>
      </w:r>
    </w:p>
    <w:tbl>
      <w:tblPr>
        <w:tblW w:w="81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249"/>
        <w:gridCol w:w="1836"/>
        <w:gridCol w:w="4269"/>
      </w:tblGrid>
      <w:tr w:rsidR="00165EB4" w:rsidRPr="005F74BE" w14:paraId="34FC6B9F" w14:textId="77777777" w:rsidTr="00165EB4">
        <w:trPr>
          <w:trHeight w:val="250"/>
        </w:trPr>
        <w:tc>
          <w:tcPr>
            <w:tcW w:w="810" w:type="dxa"/>
            <w:shd w:val="clear" w:color="auto" w:fill="auto"/>
            <w:noWrap/>
            <w:vAlign w:val="bottom"/>
          </w:tcPr>
          <w:p w14:paraId="057E8435" w14:textId="77777777" w:rsidR="00165EB4" w:rsidRPr="00DE7F0E" w:rsidRDefault="00165EB4" w:rsidP="00165EB4">
            <w:pPr>
              <w:spacing w:before="120" w:after="120" w:line="240" w:lineRule="auto"/>
              <w:jc w:val="both"/>
              <w:rPr>
                <w:rFonts w:ascii="Times New Roman" w:eastAsia="Times New Roman" w:hAnsi="Times New Roman" w:cs="Times New Roman"/>
                <w:b/>
                <w:noProof/>
                <w:sz w:val="24"/>
                <w:szCs w:val="24"/>
                <w:lang w:eastAsia="lv-LV"/>
              </w:rPr>
            </w:pPr>
            <w:r w:rsidRPr="00DE7F0E">
              <w:rPr>
                <w:rFonts w:ascii="Times New Roman" w:eastAsia="Times New Roman" w:hAnsi="Times New Roman" w:cs="Times New Roman"/>
                <w:b/>
                <w:noProof/>
                <w:sz w:val="24"/>
                <w:szCs w:val="24"/>
                <w:lang w:eastAsia="lv-LV"/>
              </w:rPr>
              <w:t>N.p.k.</w:t>
            </w:r>
          </w:p>
        </w:tc>
        <w:tc>
          <w:tcPr>
            <w:tcW w:w="1249" w:type="dxa"/>
            <w:shd w:val="clear" w:color="auto" w:fill="auto"/>
            <w:noWrap/>
            <w:vAlign w:val="bottom"/>
          </w:tcPr>
          <w:p w14:paraId="61A29D4C" w14:textId="77777777" w:rsidR="00165EB4" w:rsidRPr="00DE7F0E" w:rsidRDefault="00165EB4" w:rsidP="00165EB4">
            <w:pPr>
              <w:spacing w:before="120" w:after="120" w:line="240" w:lineRule="auto"/>
              <w:jc w:val="both"/>
              <w:rPr>
                <w:rFonts w:ascii="Times New Roman" w:eastAsia="Times New Roman" w:hAnsi="Times New Roman" w:cs="Times New Roman"/>
                <w:b/>
                <w:noProof/>
                <w:sz w:val="24"/>
                <w:szCs w:val="24"/>
                <w:lang w:eastAsia="lv-LV"/>
              </w:rPr>
            </w:pPr>
            <w:r w:rsidRPr="00DE7F0E">
              <w:rPr>
                <w:rFonts w:ascii="Times New Roman" w:eastAsia="Times New Roman" w:hAnsi="Times New Roman" w:cs="Times New Roman"/>
                <w:b/>
                <w:noProof/>
                <w:sz w:val="24"/>
                <w:szCs w:val="24"/>
                <w:lang w:eastAsia="lv-LV"/>
              </w:rPr>
              <w:t>Numurs</w:t>
            </w:r>
          </w:p>
        </w:tc>
        <w:tc>
          <w:tcPr>
            <w:tcW w:w="1836" w:type="dxa"/>
            <w:shd w:val="clear" w:color="auto" w:fill="auto"/>
            <w:noWrap/>
            <w:vAlign w:val="bottom"/>
          </w:tcPr>
          <w:p w14:paraId="367967B8" w14:textId="77777777" w:rsidR="00165EB4" w:rsidRPr="00DE7F0E" w:rsidRDefault="00165EB4" w:rsidP="00165EB4">
            <w:pPr>
              <w:spacing w:before="120" w:after="120" w:line="240" w:lineRule="auto"/>
              <w:jc w:val="both"/>
              <w:rPr>
                <w:rFonts w:ascii="Times New Roman" w:eastAsia="Times New Roman" w:hAnsi="Times New Roman" w:cs="Times New Roman"/>
                <w:b/>
                <w:noProof/>
                <w:sz w:val="24"/>
                <w:szCs w:val="24"/>
                <w:lang w:eastAsia="lv-LV"/>
              </w:rPr>
            </w:pPr>
            <w:r w:rsidRPr="00DE7F0E">
              <w:rPr>
                <w:rFonts w:ascii="Times New Roman" w:eastAsia="Times New Roman" w:hAnsi="Times New Roman" w:cs="Times New Roman"/>
                <w:b/>
                <w:noProof/>
                <w:sz w:val="24"/>
                <w:szCs w:val="24"/>
                <w:lang w:eastAsia="lv-LV"/>
              </w:rPr>
              <w:t>Reģistrācijas apliecība</w:t>
            </w:r>
          </w:p>
        </w:tc>
        <w:tc>
          <w:tcPr>
            <w:tcW w:w="4269" w:type="dxa"/>
            <w:shd w:val="clear" w:color="auto" w:fill="auto"/>
            <w:noWrap/>
            <w:vAlign w:val="bottom"/>
          </w:tcPr>
          <w:p w14:paraId="6A8CC207" w14:textId="77777777" w:rsidR="00165EB4" w:rsidRPr="00DE7F0E" w:rsidRDefault="00165EB4" w:rsidP="00165EB4">
            <w:pPr>
              <w:spacing w:before="120" w:after="120" w:line="240" w:lineRule="auto"/>
              <w:jc w:val="both"/>
              <w:rPr>
                <w:rFonts w:ascii="Times New Roman" w:eastAsia="Times New Roman" w:hAnsi="Times New Roman" w:cs="Times New Roman"/>
                <w:b/>
                <w:noProof/>
                <w:sz w:val="24"/>
                <w:szCs w:val="24"/>
                <w:lang w:eastAsia="lv-LV"/>
              </w:rPr>
            </w:pPr>
            <w:r w:rsidRPr="00DE7F0E">
              <w:rPr>
                <w:rFonts w:ascii="Times New Roman" w:eastAsia="Times New Roman" w:hAnsi="Times New Roman" w:cs="Times New Roman"/>
                <w:b/>
                <w:noProof/>
                <w:sz w:val="24"/>
                <w:szCs w:val="24"/>
                <w:lang w:eastAsia="lv-LV"/>
              </w:rPr>
              <w:t>Marka, modelis</w:t>
            </w:r>
          </w:p>
        </w:tc>
      </w:tr>
      <w:tr w:rsidR="00165EB4" w:rsidRPr="005F74BE" w14:paraId="12505BB4" w14:textId="77777777" w:rsidTr="00165EB4">
        <w:trPr>
          <w:trHeight w:val="250"/>
        </w:trPr>
        <w:tc>
          <w:tcPr>
            <w:tcW w:w="810" w:type="dxa"/>
            <w:shd w:val="clear" w:color="auto" w:fill="auto"/>
            <w:noWrap/>
            <w:vAlign w:val="bottom"/>
          </w:tcPr>
          <w:p w14:paraId="52B98DE0" w14:textId="6580CDE7"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1.</w:t>
            </w:r>
          </w:p>
        </w:tc>
        <w:tc>
          <w:tcPr>
            <w:tcW w:w="1249" w:type="dxa"/>
            <w:shd w:val="clear" w:color="auto" w:fill="auto"/>
            <w:noWrap/>
            <w:vAlign w:val="bottom"/>
          </w:tcPr>
          <w:p w14:paraId="33849F6B" w14:textId="19F61336"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ER 8448</w:t>
            </w:r>
          </w:p>
        </w:tc>
        <w:tc>
          <w:tcPr>
            <w:tcW w:w="1836" w:type="dxa"/>
            <w:shd w:val="clear" w:color="auto" w:fill="auto"/>
            <w:noWrap/>
            <w:vAlign w:val="bottom"/>
          </w:tcPr>
          <w:p w14:paraId="01E4ABEF" w14:textId="71AFFA1F"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AE0641561</w:t>
            </w:r>
          </w:p>
        </w:tc>
        <w:tc>
          <w:tcPr>
            <w:tcW w:w="4269" w:type="dxa"/>
            <w:shd w:val="clear" w:color="auto" w:fill="auto"/>
            <w:noWrap/>
            <w:vAlign w:val="bottom"/>
          </w:tcPr>
          <w:p w14:paraId="3CA49E0E" w14:textId="2166FF03"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VW PASSAT</w:t>
            </w:r>
          </w:p>
        </w:tc>
      </w:tr>
      <w:tr w:rsidR="00165EB4" w:rsidRPr="005F74BE" w14:paraId="5ACC463C" w14:textId="77777777" w:rsidTr="00165EB4">
        <w:trPr>
          <w:trHeight w:val="250"/>
        </w:trPr>
        <w:tc>
          <w:tcPr>
            <w:tcW w:w="810" w:type="dxa"/>
            <w:shd w:val="clear" w:color="auto" w:fill="auto"/>
            <w:noWrap/>
            <w:vAlign w:val="bottom"/>
          </w:tcPr>
          <w:p w14:paraId="2FDABFFD" w14:textId="699CFB1A"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2.</w:t>
            </w:r>
          </w:p>
        </w:tc>
        <w:tc>
          <w:tcPr>
            <w:tcW w:w="1249" w:type="dxa"/>
            <w:shd w:val="clear" w:color="auto" w:fill="auto"/>
            <w:noWrap/>
            <w:vAlign w:val="bottom"/>
          </w:tcPr>
          <w:p w14:paraId="76041E34" w14:textId="7C7D9494"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JL 4563</w:t>
            </w:r>
          </w:p>
        </w:tc>
        <w:tc>
          <w:tcPr>
            <w:tcW w:w="1836" w:type="dxa"/>
            <w:shd w:val="clear" w:color="auto" w:fill="auto"/>
            <w:noWrap/>
            <w:vAlign w:val="bottom"/>
          </w:tcPr>
          <w:p w14:paraId="1707B42B" w14:textId="1E7E19BF"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AF 1187330</w:t>
            </w:r>
          </w:p>
        </w:tc>
        <w:tc>
          <w:tcPr>
            <w:tcW w:w="4269" w:type="dxa"/>
            <w:shd w:val="clear" w:color="auto" w:fill="auto"/>
            <w:noWrap/>
            <w:vAlign w:val="bottom"/>
          </w:tcPr>
          <w:p w14:paraId="1D979217" w14:textId="432A79D1"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VW TRANSPORTER</w:t>
            </w:r>
          </w:p>
        </w:tc>
      </w:tr>
      <w:tr w:rsidR="00165EB4" w:rsidRPr="005F74BE" w14:paraId="06BACE3A" w14:textId="77777777" w:rsidTr="00165EB4">
        <w:trPr>
          <w:trHeight w:val="250"/>
        </w:trPr>
        <w:tc>
          <w:tcPr>
            <w:tcW w:w="810" w:type="dxa"/>
            <w:shd w:val="clear" w:color="auto" w:fill="auto"/>
            <w:noWrap/>
            <w:vAlign w:val="bottom"/>
          </w:tcPr>
          <w:p w14:paraId="69AF4961" w14:textId="69DDD300"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3.</w:t>
            </w:r>
          </w:p>
        </w:tc>
        <w:tc>
          <w:tcPr>
            <w:tcW w:w="1249" w:type="dxa"/>
            <w:shd w:val="clear" w:color="auto" w:fill="auto"/>
            <w:noWrap/>
            <w:vAlign w:val="bottom"/>
          </w:tcPr>
          <w:p w14:paraId="049F096D" w14:textId="78B9FE67"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MR 4971</w:t>
            </w:r>
          </w:p>
        </w:tc>
        <w:tc>
          <w:tcPr>
            <w:tcW w:w="1836" w:type="dxa"/>
            <w:shd w:val="clear" w:color="auto" w:fill="auto"/>
            <w:noWrap/>
            <w:vAlign w:val="bottom"/>
          </w:tcPr>
          <w:p w14:paraId="64393F63" w14:textId="239BABF2"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AF 3490592</w:t>
            </w:r>
          </w:p>
        </w:tc>
        <w:tc>
          <w:tcPr>
            <w:tcW w:w="4269" w:type="dxa"/>
            <w:shd w:val="clear" w:color="auto" w:fill="auto"/>
            <w:noWrap/>
            <w:vAlign w:val="bottom"/>
          </w:tcPr>
          <w:p w14:paraId="034199ED" w14:textId="6D25E8BC"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VW CADDY</w:t>
            </w:r>
          </w:p>
        </w:tc>
      </w:tr>
      <w:tr w:rsidR="00165EB4" w:rsidRPr="005F74BE" w14:paraId="58FB608E" w14:textId="77777777" w:rsidTr="00165EB4">
        <w:trPr>
          <w:trHeight w:val="250"/>
        </w:trPr>
        <w:tc>
          <w:tcPr>
            <w:tcW w:w="810" w:type="dxa"/>
            <w:shd w:val="clear" w:color="auto" w:fill="auto"/>
            <w:noWrap/>
            <w:vAlign w:val="bottom"/>
          </w:tcPr>
          <w:p w14:paraId="4786323B" w14:textId="5A620E79"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4.</w:t>
            </w:r>
          </w:p>
        </w:tc>
        <w:tc>
          <w:tcPr>
            <w:tcW w:w="1249" w:type="dxa"/>
            <w:shd w:val="clear" w:color="auto" w:fill="auto"/>
            <w:noWrap/>
            <w:vAlign w:val="bottom"/>
          </w:tcPr>
          <w:p w14:paraId="0241E3E2" w14:textId="6FFA9D9D"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MS 5938</w:t>
            </w:r>
          </w:p>
        </w:tc>
        <w:tc>
          <w:tcPr>
            <w:tcW w:w="1836" w:type="dxa"/>
            <w:shd w:val="clear" w:color="auto" w:fill="auto"/>
            <w:noWrap/>
            <w:vAlign w:val="bottom"/>
          </w:tcPr>
          <w:p w14:paraId="34D01338" w14:textId="111215C1"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AF 3588212</w:t>
            </w:r>
          </w:p>
        </w:tc>
        <w:tc>
          <w:tcPr>
            <w:tcW w:w="4269" w:type="dxa"/>
            <w:shd w:val="clear" w:color="auto" w:fill="auto"/>
            <w:noWrap/>
            <w:vAlign w:val="bottom"/>
          </w:tcPr>
          <w:p w14:paraId="2D7E1514" w14:textId="3F060A6F" w:rsidR="00165EB4"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VW TRANSPORTER</w:t>
            </w:r>
          </w:p>
        </w:tc>
      </w:tr>
      <w:tr w:rsidR="005817D5" w:rsidRPr="005F74BE" w14:paraId="773F411C" w14:textId="77777777" w:rsidTr="00165EB4">
        <w:trPr>
          <w:trHeight w:val="250"/>
        </w:trPr>
        <w:tc>
          <w:tcPr>
            <w:tcW w:w="810" w:type="dxa"/>
            <w:shd w:val="clear" w:color="auto" w:fill="auto"/>
            <w:noWrap/>
            <w:vAlign w:val="bottom"/>
          </w:tcPr>
          <w:p w14:paraId="50BC7EA3" w14:textId="3B42CF16" w:rsidR="005817D5"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5.</w:t>
            </w:r>
          </w:p>
        </w:tc>
        <w:tc>
          <w:tcPr>
            <w:tcW w:w="1249" w:type="dxa"/>
            <w:shd w:val="clear" w:color="auto" w:fill="auto"/>
            <w:noWrap/>
            <w:vAlign w:val="bottom"/>
          </w:tcPr>
          <w:p w14:paraId="6A5308B5" w14:textId="74B9CBD7" w:rsidR="005817D5"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JL 1759</w:t>
            </w:r>
          </w:p>
        </w:tc>
        <w:tc>
          <w:tcPr>
            <w:tcW w:w="1836" w:type="dxa"/>
            <w:shd w:val="clear" w:color="auto" w:fill="auto"/>
            <w:noWrap/>
            <w:vAlign w:val="bottom"/>
          </w:tcPr>
          <w:p w14:paraId="0E81EB43" w14:textId="5086C923" w:rsidR="005817D5"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AF 4991941</w:t>
            </w:r>
          </w:p>
        </w:tc>
        <w:tc>
          <w:tcPr>
            <w:tcW w:w="4269" w:type="dxa"/>
            <w:shd w:val="clear" w:color="auto" w:fill="auto"/>
            <w:noWrap/>
            <w:vAlign w:val="bottom"/>
          </w:tcPr>
          <w:p w14:paraId="292B2536" w14:textId="0A453141" w:rsidR="005817D5" w:rsidRPr="005F74BE" w:rsidRDefault="005817D5" w:rsidP="00165EB4">
            <w:pPr>
              <w:spacing w:before="120" w:after="120" w:line="240" w:lineRule="auto"/>
              <w:jc w:val="both"/>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DACIA DUSTER</w:t>
            </w:r>
          </w:p>
        </w:tc>
      </w:tr>
    </w:tbl>
    <w:p w14:paraId="3EB3FB95" w14:textId="77777777" w:rsidR="00165EB4" w:rsidRPr="005F74BE" w:rsidRDefault="00165EB4" w:rsidP="00165EB4">
      <w:pPr>
        <w:spacing w:before="120" w:after="120" w:line="240" w:lineRule="auto"/>
        <w:jc w:val="both"/>
        <w:rPr>
          <w:rFonts w:ascii="Times New Roman" w:eastAsia="Times New Roman" w:hAnsi="Times New Roman" w:cs="Times New Roman"/>
          <w:bCs/>
          <w:i/>
          <w:sz w:val="24"/>
          <w:szCs w:val="24"/>
          <w:lang w:eastAsia="lv-LV"/>
        </w:rPr>
      </w:pPr>
      <w:r w:rsidRPr="005F74BE">
        <w:rPr>
          <w:rFonts w:ascii="Times New Roman" w:eastAsia="Times New Roman" w:hAnsi="Times New Roman" w:cs="Times New Roman"/>
          <w:bCs/>
          <w:i/>
          <w:noProof/>
          <w:szCs w:val="24"/>
          <w:lang w:eastAsia="lv-LV"/>
        </w:rPr>
        <w:t xml:space="preserve">            *</w:t>
      </w:r>
      <w:r w:rsidRPr="005F74BE">
        <w:rPr>
          <w:rFonts w:ascii="Times New Roman" w:eastAsia="Times New Roman" w:hAnsi="Times New Roman" w:cs="Times New Roman"/>
          <w:bCs/>
          <w:i/>
          <w:szCs w:val="24"/>
          <w:lang w:eastAsia="lv-LV"/>
        </w:rPr>
        <w:t xml:space="preserve"> Līguma izpildes laikā </w:t>
      </w:r>
      <w:r w:rsidRPr="005F74BE">
        <w:rPr>
          <w:rFonts w:ascii="Times New Roman" w:eastAsia="Times New Roman" w:hAnsi="Times New Roman" w:cs="Times New Roman"/>
          <w:i/>
          <w:szCs w:val="24"/>
          <w:lang w:eastAsia="lv-LV" w:bidi="lo-LA"/>
        </w:rPr>
        <w:t>autotransporta</w:t>
      </w:r>
      <w:r w:rsidRPr="005F74BE">
        <w:rPr>
          <w:rFonts w:ascii="Times New Roman" w:eastAsia="Times New Roman" w:hAnsi="Times New Roman" w:cs="Times New Roman"/>
          <w:bCs/>
          <w:i/>
          <w:szCs w:val="24"/>
          <w:lang w:eastAsia="lv-LV"/>
        </w:rPr>
        <w:t xml:space="preserve"> saraksts var mainīties</w:t>
      </w:r>
      <w:r w:rsidRPr="005F74BE">
        <w:rPr>
          <w:rFonts w:ascii="Times New Roman" w:eastAsia="Times New Roman" w:hAnsi="Times New Roman" w:cs="Times New Roman"/>
          <w:bCs/>
          <w:i/>
          <w:sz w:val="24"/>
          <w:szCs w:val="24"/>
          <w:lang w:eastAsia="lv-LV"/>
        </w:rPr>
        <w:t>.</w:t>
      </w:r>
    </w:p>
    <w:p w14:paraId="19C74E5C" w14:textId="77777777" w:rsidR="00165EB4" w:rsidRPr="005F74BE" w:rsidRDefault="00165EB4" w:rsidP="00165EB4">
      <w:pPr>
        <w:numPr>
          <w:ilvl w:val="0"/>
          <w:numId w:val="1"/>
        </w:numPr>
        <w:spacing w:before="120" w:after="120" w:line="240" w:lineRule="auto"/>
        <w:ind w:left="567" w:hanging="567"/>
        <w:jc w:val="both"/>
        <w:rPr>
          <w:rFonts w:ascii="Times New Roman" w:eastAsia="Times New Roman" w:hAnsi="Times New Roman" w:cs="Times New Roman"/>
          <w:bCs/>
          <w:noProof/>
          <w:sz w:val="24"/>
          <w:szCs w:val="24"/>
          <w:lang w:eastAsia="lv-LV"/>
        </w:rPr>
      </w:pPr>
      <w:r w:rsidRPr="005F74BE">
        <w:rPr>
          <w:rFonts w:ascii="Times New Roman" w:eastAsia="Times New Roman" w:hAnsi="Times New Roman" w:cs="Times New Roman"/>
          <w:bCs/>
          <w:noProof/>
          <w:sz w:val="24"/>
          <w:szCs w:val="24"/>
          <w:lang w:eastAsia="lv-LV"/>
        </w:rPr>
        <w:t>Obligātās (minimālās) prasības Pakalpojuma nodrošināšanai:</w:t>
      </w:r>
    </w:p>
    <w:p w14:paraId="0E15E0FD" w14:textId="77777777" w:rsidR="00165EB4" w:rsidRPr="005F74BE" w:rsidRDefault="00165EB4" w:rsidP="00165EB4">
      <w:pPr>
        <w:numPr>
          <w:ilvl w:val="0"/>
          <w:numId w:val="2"/>
        </w:numPr>
        <w:spacing w:before="120" w:after="120" w:line="240" w:lineRule="auto"/>
        <w:jc w:val="both"/>
        <w:rPr>
          <w:rFonts w:ascii="Times New Roman" w:eastAsia="Times New Roman" w:hAnsi="Times New Roman" w:cs="Times New Roman"/>
          <w:vanish/>
          <w:sz w:val="24"/>
          <w:szCs w:val="24"/>
          <w:lang w:eastAsia="lv-LV"/>
        </w:rPr>
      </w:pPr>
    </w:p>
    <w:p w14:paraId="7864FAE9"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 xml:space="preserve">Pieņemt Pasūtītāja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servisā tehnisko apkopju vai remonta pakalpojumu veikšanai ar Pasūtītāju iepriekš saskaņotā laikā, no pulksten 09.00 līdz 18.00, bet ne vēlāk kā 24 (divdesmit četru) stundu laikā no Pasūtītāja telefoniska vai rakstiska pieteikuma saņemšanas pa tālruni vai elektroniski.</w:t>
      </w:r>
    </w:p>
    <w:p w14:paraId="54FAB4E7"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lastRenderedPageBreak/>
        <w:t xml:space="preserve">Pēc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saņemšanas ne vēlāk kā 24 (divdesmit četru) stundu laikā jāsaskaņo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apskates akts un servisā veicamo tehnisko apkopju vai remonta pakalpojumu izmaksu tāmi, norādot izpildes termiņu.</w:t>
      </w:r>
    </w:p>
    <w:p w14:paraId="30FAF04A"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Nedrīkst veikt tehnisko apkopju vai remonta pakalpojumus bez apskates akta un izmaksu tāmes saskaņošanas ar Pasūtītāju.</w:t>
      </w:r>
    </w:p>
    <w:p w14:paraId="25E10FB7"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 xml:space="preserve">Par visiem defektiem vai bojājumiem, kas tika konstatēti veicot remontdarbus vai tehniskās apkopes pakalpojumus un kuru novēršanai nepieciešami papildus remontdarbi vai bojāto detaļu nomaiņa, informēt Pasūtītāju, kā arī iesniegt Pasūtītājam uz saskaņošanu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apskates aktu un servisā veicamo tehnisko apkopju vai remonta pakalpojumu izmaksu tāmi.</w:t>
      </w:r>
    </w:p>
    <w:p w14:paraId="4624A83C"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 xml:space="preserve">Nodrošināt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rezerves daļu piegādi ne ilgāk kā 5 (piecu) darba dienu laikā no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saņemšanas servisā. Pasūtītājs un Pretendents var vienoties par citu piegādes termiņu, ja detaļu nav iespējams piegādāt norādītajā termiņā.</w:t>
      </w:r>
    </w:p>
    <w:p w14:paraId="0756EDF3"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Pretendents ir tiesīgs piedāvāt Pasūtītājam papildaprīkojumu, kas ietekmē transportlīdzekļa spēju piedalīties ceļu satiksmē, piemēram, riepas, rezerves daļas, enerģētiskos šķidrumus.</w:t>
      </w:r>
    </w:p>
    <w:p w14:paraId="2CF34930"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tehnisko apkopi vai remonta pakalpojumus veikt saskaņā ar attiecīgā tehnikas izgatavotājrūpnīcas prasībām un standartiem.</w:t>
      </w:r>
    </w:p>
    <w:p w14:paraId="0C4B7BF9"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 xml:space="preserve">Pakalpojuma izpildē jānodrošina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tehnisko apkopi un remontu, tai skaitā:</w:t>
      </w:r>
    </w:p>
    <w:p w14:paraId="46DFC883" w14:textId="77777777" w:rsidR="00165EB4" w:rsidRPr="005F74BE" w:rsidRDefault="00165EB4" w:rsidP="00165EB4">
      <w:pPr>
        <w:pStyle w:val="Sarakstarindkopa"/>
        <w:numPr>
          <w:ilvl w:val="2"/>
          <w:numId w:val="3"/>
        </w:numPr>
        <w:spacing w:before="120" w:after="120" w:line="240" w:lineRule="auto"/>
        <w:ind w:left="1843"/>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Dzinēja diagnostika un remonts;</w:t>
      </w:r>
    </w:p>
    <w:p w14:paraId="121C2741"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Ritošās daļas diagnostika;</w:t>
      </w:r>
    </w:p>
    <w:p w14:paraId="5D1A9E09"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Ritošās daļas remonts;</w:t>
      </w:r>
    </w:p>
    <w:p w14:paraId="612DACAA"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Elektrosistēmas diagnostika un remonts;</w:t>
      </w:r>
    </w:p>
    <w:p w14:paraId="3045D717"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Riepu maiņa, montāža, remonts;</w:t>
      </w:r>
    </w:p>
    <w:p w14:paraId="02596553"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Stūres iekārtas remonts;</w:t>
      </w:r>
    </w:p>
    <w:p w14:paraId="3A90DE12"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 xml:space="preserve">Periodiskā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apkope;</w:t>
      </w:r>
    </w:p>
    <w:p w14:paraId="62A425DE"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Remontam nepieciešamo rezerves daļu iegāde un nomaiņa;</w:t>
      </w:r>
    </w:p>
    <w:p w14:paraId="4E4D9183"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sagatavošana tehniskajai apskatei;</w:t>
      </w:r>
    </w:p>
    <w:p w14:paraId="10D41C98" w14:textId="77777777" w:rsidR="00165EB4" w:rsidRPr="005F74BE" w:rsidRDefault="00165EB4" w:rsidP="00165EB4">
      <w:pPr>
        <w:numPr>
          <w:ilvl w:val="2"/>
          <w:numId w:val="3"/>
        </w:numPr>
        <w:spacing w:before="120" w:after="120" w:line="240" w:lineRule="auto"/>
        <w:ind w:left="1843" w:hanging="708"/>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 xml:space="preserve">Citi darbi, kas nepieciešami, lai nodrošinātu Pasūtītāja </w:t>
      </w:r>
      <w:r w:rsidRPr="005F74BE">
        <w:rPr>
          <w:rFonts w:ascii="Times New Roman" w:eastAsia="Times New Roman" w:hAnsi="Times New Roman" w:cs="Times New Roman"/>
          <w:sz w:val="24"/>
          <w:szCs w:val="24"/>
          <w:lang w:eastAsia="lv-LV" w:bidi="lo-LA"/>
        </w:rPr>
        <w:t>autotransporta</w:t>
      </w:r>
      <w:r w:rsidRPr="005F74BE">
        <w:rPr>
          <w:rFonts w:ascii="Times New Roman" w:eastAsia="Times New Roman" w:hAnsi="Times New Roman" w:cs="Times New Roman"/>
          <w:sz w:val="24"/>
          <w:szCs w:val="24"/>
          <w:lang w:eastAsia="lv-LV"/>
        </w:rPr>
        <w:t xml:space="preserve"> pilnvērtīgu darbību atbilstoši satiksmes drošības normām un droša darba izpildei.</w:t>
      </w:r>
    </w:p>
    <w:p w14:paraId="3459AA11" w14:textId="77777777" w:rsidR="00165EB4" w:rsidRPr="005F74BE" w:rsidRDefault="00165EB4" w:rsidP="00165EB4">
      <w:pPr>
        <w:pStyle w:val="Sarakstarindkopa"/>
        <w:numPr>
          <w:ilvl w:val="1"/>
          <w:numId w:val="3"/>
        </w:numPr>
        <w:spacing w:before="120" w:after="120" w:line="240" w:lineRule="auto"/>
        <w:ind w:left="1134" w:hanging="567"/>
        <w:contextualSpacing w:val="0"/>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Pakalpojuma sniegšanai Pasūtītāja transporta līdzekļu vadītāji nodod attiecīgo transporta līdzekli Izpildītājam. Izpildītājs uzņemas visus iespējamos riskus, kas saistīti ar transporta līdzekli un pakalpojumu izpildi, no brīža, kad viņš pieņem transporta līdzekli pakalpojumu sniegšanai, līdz brīdim, kad pēc pakalpojumu izpildes autotransportu nodod atpakaļ Pasūtītāja transporta līdzekļa vadītājiem.</w:t>
      </w:r>
    </w:p>
    <w:p w14:paraId="6EDE2684" w14:textId="77777777" w:rsidR="00165EB4" w:rsidRPr="005F74BE" w:rsidRDefault="00165EB4" w:rsidP="00165EB4">
      <w:pPr>
        <w:numPr>
          <w:ilvl w:val="1"/>
          <w:numId w:val="3"/>
        </w:numPr>
        <w:spacing w:before="120" w:after="120" w:line="240" w:lineRule="auto"/>
        <w:ind w:left="1134" w:hanging="567"/>
        <w:jc w:val="both"/>
        <w:rPr>
          <w:rFonts w:ascii="Times New Roman" w:eastAsia="Times New Roman" w:hAnsi="Times New Roman" w:cs="Times New Roman"/>
          <w:sz w:val="24"/>
          <w:szCs w:val="24"/>
          <w:lang w:eastAsia="lv-LV"/>
        </w:rPr>
      </w:pPr>
      <w:r w:rsidRPr="005F74BE">
        <w:rPr>
          <w:rFonts w:ascii="Times New Roman" w:eastAsia="Times New Roman" w:hAnsi="Times New Roman" w:cs="Times New Roman"/>
          <w:sz w:val="24"/>
          <w:szCs w:val="24"/>
          <w:lang w:eastAsia="lv-LV"/>
        </w:rPr>
        <w:t>Garantijas nosacījumi:</w:t>
      </w:r>
    </w:p>
    <w:p w14:paraId="5B7875B6" w14:textId="77777777" w:rsidR="00165EB4" w:rsidRPr="005F74BE" w:rsidRDefault="00165EB4" w:rsidP="00165EB4">
      <w:pPr>
        <w:numPr>
          <w:ilvl w:val="2"/>
          <w:numId w:val="3"/>
        </w:numPr>
        <w:pBdr>
          <w:top w:val="nil"/>
          <w:left w:val="nil"/>
          <w:bottom w:val="nil"/>
          <w:right w:val="nil"/>
          <w:between w:val="nil"/>
        </w:pBdr>
        <w:suppressAutoHyphens/>
        <w:spacing w:before="120" w:after="120" w:line="240" w:lineRule="auto"/>
        <w:ind w:left="1843"/>
        <w:jc w:val="both"/>
        <w:textDirection w:val="btLr"/>
        <w:textAlignment w:val="top"/>
        <w:outlineLvl w:val="0"/>
        <w:rPr>
          <w:rFonts w:ascii="Times New Roman" w:eastAsia="ヒラギノ角ゴ Pro W3" w:hAnsi="Times New Roman" w:cs="Times New Roman"/>
          <w:bCs/>
          <w:i/>
          <w:iCs/>
          <w:position w:val="-1"/>
          <w:sz w:val="24"/>
          <w:szCs w:val="24"/>
          <w:lang w:eastAsia="lv-LV"/>
        </w:rPr>
      </w:pPr>
      <w:r w:rsidRPr="005F74BE">
        <w:rPr>
          <w:rFonts w:ascii="Times New Roman" w:eastAsia="ヒラギノ角ゴ Pro W3" w:hAnsi="Times New Roman" w:cs="Times New Roman"/>
          <w:bCs/>
          <w:iCs/>
          <w:position w:val="-1"/>
          <w:sz w:val="24"/>
          <w:szCs w:val="24"/>
          <w:lang w:eastAsia="lv-LV"/>
        </w:rPr>
        <w:t xml:space="preserve">Jaunām rezerves daļām ne mazāk par 6 (sešiem) mēnešiem; </w:t>
      </w:r>
    </w:p>
    <w:p w14:paraId="3748A65A" w14:textId="77777777" w:rsidR="00165EB4" w:rsidRPr="005F74BE" w:rsidRDefault="00165EB4" w:rsidP="00165EB4">
      <w:pPr>
        <w:numPr>
          <w:ilvl w:val="2"/>
          <w:numId w:val="3"/>
        </w:numPr>
        <w:pBdr>
          <w:top w:val="nil"/>
          <w:left w:val="nil"/>
          <w:bottom w:val="nil"/>
          <w:right w:val="nil"/>
          <w:between w:val="nil"/>
        </w:pBdr>
        <w:suppressAutoHyphens/>
        <w:spacing w:before="120" w:after="120" w:line="240" w:lineRule="auto"/>
        <w:ind w:left="1843"/>
        <w:jc w:val="both"/>
        <w:textDirection w:val="btLr"/>
        <w:textAlignment w:val="top"/>
        <w:outlineLvl w:val="0"/>
        <w:rPr>
          <w:rFonts w:ascii="Times New Roman" w:eastAsia="ヒラギノ角ゴ Pro W3" w:hAnsi="Times New Roman" w:cs="Times New Roman"/>
          <w:bCs/>
          <w:i/>
          <w:iCs/>
          <w:position w:val="-1"/>
          <w:sz w:val="24"/>
          <w:szCs w:val="24"/>
          <w:lang w:eastAsia="lv-LV"/>
        </w:rPr>
      </w:pPr>
      <w:r w:rsidRPr="005F74BE">
        <w:rPr>
          <w:rFonts w:ascii="Times New Roman" w:eastAsia="ヒラギノ角ゴ Pro W3" w:hAnsi="Times New Roman" w:cs="Times New Roman"/>
          <w:bCs/>
          <w:iCs/>
          <w:position w:val="-1"/>
          <w:sz w:val="24"/>
          <w:szCs w:val="24"/>
          <w:lang w:eastAsia="lv-LV"/>
        </w:rPr>
        <w:t xml:space="preserve">Garantijas laiks pakalpojuma ietvaros veiktajiem remonta darbiem, tajā skaitā tehniskajām apkopēm – vismaz 6 (seši) mēneši no pieņemšanas – nodošanas akta parakstīšanas brīža; </w:t>
      </w:r>
    </w:p>
    <w:p w14:paraId="79229F5C" w14:textId="77777777" w:rsidR="00165EB4" w:rsidRPr="005F74BE" w:rsidRDefault="00165EB4" w:rsidP="00165EB4">
      <w:pPr>
        <w:numPr>
          <w:ilvl w:val="2"/>
          <w:numId w:val="3"/>
        </w:numPr>
        <w:pBdr>
          <w:top w:val="nil"/>
          <w:left w:val="nil"/>
          <w:bottom w:val="nil"/>
          <w:right w:val="nil"/>
          <w:between w:val="nil"/>
        </w:pBdr>
        <w:suppressAutoHyphens/>
        <w:spacing w:before="120" w:after="120" w:line="240" w:lineRule="auto"/>
        <w:ind w:left="1843"/>
        <w:jc w:val="both"/>
        <w:textDirection w:val="btLr"/>
        <w:textAlignment w:val="top"/>
        <w:outlineLvl w:val="0"/>
        <w:rPr>
          <w:rFonts w:ascii="Times New Roman" w:eastAsia="ヒラギノ角ゴ Pro W3" w:hAnsi="Times New Roman" w:cs="Times New Roman"/>
          <w:bCs/>
          <w:i/>
          <w:iCs/>
          <w:position w:val="-1"/>
          <w:sz w:val="24"/>
          <w:szCs w:val="24"/>
          <w:lang w:eastAsia="lv-LV"/>
        </w:rPr>
      </w:pPr>
      <w:r w:rsidRPr="005F74BE">
        <w:rPr>
          <w:rFonts w:ascii="Times New Roman" w:eastAsia="ヒラギノ角ゴ Pro W3" w:hAnsi="Times New Roman" w:cs="Times New Roman"/>
          <w:bCs/>
          <w:iCs/>
          <w:position w:val="-1"/>
          <w:sz w:val="24"/>
          <w:szCs w:val="24"/>
          <w:lang w:eastAsia="lv-LV"/>
        </w:rPr>
        <w:t>Riepām un akumulatoriem saskaņā ar ražotāja garantijas saistībām.</w:t>
      </w:r>
    </w:p>
    <w:p w14:paraId="4048965D" w14:textId="44B37543" w:rsidR="00165EB4" w:rsidRPr="00165EB4" w:rsidRDefault="00165EB4" w:rsidP="00165EB4">
      <w:pPr>
        <w:numPr>
          <w:ilvl w:val="1"/>
          <w:numId w:val="3"/>
        </w:numPr>
        <w:pBdr>
          <w:top w:val="nil"/>
          <w:left w:val="nil"/>
          <w:bottom w:val="nil"/>
          <w:right w:val="nil"/>
          <w:between w:val="nil"/>
        </w:pBdr>
        <w:suppressAutoHyphens/>
        <w:spacing w:before="120" w:after="120" w:line="240" w:lineRule="auto"/>
        <w:ind w:left="1134" w:hanging="567"/>
        <w:jc w:val="both"/>
        <w:textDirection w:val="btLr"/>
        <w:textAlignment w:val="top"/>
        <w:outlineLvl w:val="0"/>
        <w:rPr>
          <w:rFonts w:ascii="Times New Roman" w:eastAsia="ヒラギノ角ゴ Pro W3" w:hAnsi="Times New Roman" w:cs="Times New Roman"/>
          <w:bCs/>
          <w:iCs/>
          <w:color w:val="000000"/>
          <w:position w:val="-1"/>
          <w:sz w:val="24"/>
          <w:szCs w:val="24"/>
          <w:lang w:eastAsia="lv-LV"/>
        </w:rPr>
      </w:pPr>
      <w:r w:rsidRPr="005F74BE">
        <w:rPr>
          <w:rFonts w:ascii="Times New Roman" w:eastAsia="ヒラギノ角ゴ Pro W3" w:hAnsi="Times New Roman" w:cs="Times New Roman"/>
          <w:b/>
          <w:bCs/>
          <w:iCs/>
          <w:position w:val="-1"/>
          <w:sz w:val="24"/>
          <w:szCs w:val="24"/>
          <w:lang w:eastAsia="lv-LV"/>
        </w:rPr>
        <w:lastRenderedPageBreak/>
        <w:t xml:space="preserve">Pretendentam ir vismaz </w:t>
      </w:r>
      <w:r w:rsidR="00F903D2">
        <w:rPr>
          <w:rFonts w:ascii="Times New Roman" w:eastAsia="ヒラギノ角ゴ Pro W3" w:hAnsi="Times New Roman" w:cs="Times New Roman"/>
          <w:b/>
          <w:bCs/>
          <w:iCs/>
          <w:position w:val="-1"/>
          <w:sz w:val="24"/>
          <w:szCs w:val="24"/>
          <w:lang w:eastAsia="lv-LV"/>
        </w:rPr>
        <w:t>divas</w:t>
      </w:r>
      <w:r w:rsidRPr="005F74BE">
        <w:rPr>
          <w:rFonts w:ascii="Times New Roman" w:eastAsia="ヒラギノ角ゴ Pro W3" w:hAnsi="Times New Roman" w:cs="Times New Roman"/>
          <w:b/>
          <w:bCs/>
          <w:iCs/>
          <w:position w:val="-1"/>
          <w:sz w:val="24"/>
          <w:szCs w:val="24"/>
          <w:lang w:eastAsia="lv-LV"/>
        </w:rPr>
        <w:t xml:space="preserve"> tehnik</w:t>
      </w:r>
      <w:r w:rsidR="00F903D2">
        <w:rPr>
          <w:rFonts w:ascii="Times New Roman" w:eastAsia="ヒラギノ角ゴ Pro W3" w:hAnsi="Times New Roman" w:cs="Times New Roman"/>
          <w:b/>
          <w:bCs/>
          <w:iCs/>
          <w:position w:val="-1"/>
          <w:sz w:val="24"/>
          <w:szCs w:val="24"/>
          <w:lang w:eastAsia="lv-LV"/>
        </w:rPr>
        <w:t>ā</w:t>
      </w:r>
      <w:r w:rsidRPr="005F74BE">
        <w:rPr>
          <w:rFonts w:ascii="Times New Roman" w:eastAsia="ヒラギノ角ゴ Pro W3" w:hAnsi="Times New Roman" w:cs="Times New Roman"/>
          <w:b/>
          <w:bCs/>
          <w:iCs/>
          <w:position w:val="-1"/>
          <w:sz w:val="24"/>
          <w:szCs w:val="24"/>
          <w:lang w:eastAsia="lv-LV"/>
        </w:rPr>
        <w:t>s apkopes un remonta servisa vieta</w:t>
      </w:r>
      <w:r w:rsidR="00F903D2">
        <w:rPr>
          <w:rFonts w:ascii="Times New Roman" w:eastAsia="ヒラギノ角ゴ Pro W3" w:hAnsi="Times New Roman" w:cs="Times New Roman"/>
          <w:b/>
          <w:bCs/>
          <w:iCs/>
          <w:position w:val="-1"/>
          <w:sz w:val="24"/>
          <w:szCs w:val="24"/>
          <w:lang w:eastAsia="lv-LV"/>
        </w:rPr>
        <w:t>s</w:t>
      </w:r>
      <w:r w:rsidRPr="005F74BE">
        <w:rPr>
          <w:rFonts w:ascii="Times New Roman" w:eastAsia="ヒラギノ角ゴ Pro W3" w:hAnsi="Times New Roman" w:cs="Times New Roman"/>
          <w:b/>
          <w:bCs/>
          <w:iCs/>
          <w:position w:val="-1"/>
          <w:sz w:val="24"/>
          <w:szCs w:val="24"/>
          <w:lang w:eastAsia="lv-LV"/>
        </w:rPr>
        <w:t xml:space="preserve"> ne vairāk kā </w:t>
      </w:r>
      <w:r w:rsidR="00F903D2">
        <w:rPr>
          <w:rFonts w:ascii="Times New Roman" w:eastAsia="ヒラギノ角ゴ Pro W3" w:hAnsi="Times New Roman" w:cs="Times New Roman"/>
          <w:b/>
          <w:bCs/>
          <w:iCs/>
          <w:position w:val="-1"/>
          <w:sz w:val="24"/>
          <w:szCs w:val="24"/>
          <w:u w:val="single"/>
          <w:lang w:eastAsia="lv-LV"/>
        </w:rPr>
        <w:t>3</w:t>
      </w:r>
      <w:r w:rsidRPr="00165EB4">
        <w:rPr>
          <w:rFonts w:ascii="Times New Roman" w:eastAsia="ヒラギノ角ゴ Pro W3" w:hAnsi="Times New Roman" w:cs="Times New Roman"/>
          <w:b/>
          <w:bCs/>
          <w:iCs/>
          <w:position w:val="-1"/>
          <w:sz w:val="24"/>
          <w:szCs w:val="24"/>
          <w:u w:val="single"/>
          <w:lang w:eastAsia="lv-LV"/>
        </w:rPr>
        <w:t>0 (</w:t>
      </w:r>
      <w:r w:rsidR="00F903D2">
        <w:rPr>
          <w:rFonts w:ascii="Times New Roman" w:eastAsia="ヒラギノ角ゴ Pro W3" w:hAnsi="Times New Roman" w:cs="Times New Roman"/>
          <w:b/>
          <w:bCs/>
          <w:iCs/>
          <w:position w:val="-1"/>
          <w:sz w:val="24"/>
          <w:szCs w:val="24"/>
          <w:u w:val="single"/>
          <w:lang w:eastAsia="lv-LV"/>
        </w:rPr>
        <w:t>trīs</w:t>
      </w:r>
      <w:r w:rsidRPr="00165EB4">
        <w:rPr>
          <w:rFonts w:ascii="Times New Roman" w:eastAsia="ヒラギノ角ゴ Pro W3" w:hAnsi="Times New Roman" w:cs="Times New Roman"/>
          <w:b/>
          <w:bCs/>
          <w:iCs/>
          <w:position w:val="-1"/>
          <w:sz w:val="24"/>
          <w:szCs w:val="24"/>
          <w:u w:val="single"/>
          <w:lang w:eastAsia="lv-LV"/>
        </w:rPr>
        <w:t>desmit) km</w:t>
      </w:r>
      <w:r w:rsidRPr="005F74BE">
        <w:rPr>
          <w:rFonts w:ascii="Times New Roman" w:eastAsia="ヒラギノ角ゴ Pro W3" w:hAnsi="Times New Roman" w:cs="Times New Roman"/>
          <w:b/>
          <w:bCs/>
          <w:iCs/>
          <w:position w:val="-1"/>
          <w:sz w:val="24"/>
          <w:szCs w:val="24"/>
          <w:lang w:eastAsia="lv-LV"/>
        </w:rPr>
        <w:t xml:space="preserve"> attālumā no Pasūtītāja norādītās adreses: </w:t>
      </w:r>
      <w:r>
        <w:rPr>
          <w:rFonts w:ascii="Times New Roman" w:eastAsia="ヒラギノ角ゴ Pro W3" w:hAnsi="Times New Roman" w:cs="Times New Roman"/>
          <w:b/>
          <w:bCs/>
          <w:iCs/>
          <w:position w:val="-1"/>
          <w:sz w:val="24"/>
          <w:szCs w:val="24"/>
          <w:lang w:eastAsia="lv-LV"/>
        </w:rPr>
        <w:t>Dārza ielā 7/1, Bauskā:</w:t>
      </w:r>
    </w:p>
    <w:p w14:paraId="3BBD570F" w14:textId="77777777" w:rsidR="00165EB4" w:rsidRPr="00A568FA" w:rsidRDefault="00165EB4" w:rsidP="00165EB4">
      <w:pPr>
        <w:pBdr>
          <w:top w:val="nil"/>
          <w:left w:val="nil"/>
          <w:bottom w:val="nil"/>
          <w:right w:val="nil"/>
          <w:between w:val="nil"/>
        </w:pBdr>
        <w:suppressAutoHyphens/>
        <w:spacing w:before="120" w:after="120" w:line="240" w:lineRule="auto"/>
        <w:ind w:left="1134"/>
        <w:jc w:val="both"/>
        <w:textDirection w:val="btLr"/>
        <w:textAlignment w:val="top"/>
        <w:outlineLvl w:val="0"/>
        <w:rPr>
          <w:rFonts w:ascii="Times New Roman" w:eastAsia="ヒラギノ角ゴ Pro W3" w:hAnsi="Times New Roman" w:cs="Times New Roman"/>
          <w:bCs/>
          <w:iCs/>
          <w:color w:val="000000"/>
          <w:position w:val="-1"/>
          <w:sz w:val="24"/>
          <w:szCs w:val="24"/>
          <w:lang w:eastAsia="lv-LV"/>
        </w:rPr>
      </w:pPr>
      <w:r w:rsidRPr="00A568FA">
        <w:rPr>
          <w:rFonts w:ascii="Times New Roman" w:eastAsia="Times New Roman" w:hAnsi="Times New Roman" w:cs="Times New Roman"/>
          <w:color w:val="000000"/>
          <w:sz w:val="24"/>
          <w:szCs w:val="24"/>
        </w:rPr>
        <w:t>_</w:t>
      </w:r>
      <w:r w:rsidRPr="00A568FA">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 xml:space="preserve">. </w:t>
      </w:r>
      <w:r w:rsidRPr="00A568FA">
        <w:rPr>
          <w:rFonts w:ascii="Times New Roman" w:hAnsi="Times New Roman" w:cs="Times New Roman"/>
          <w:i/>
          <w:sz w:val="24"/>
          <w:szCs w:val="24"/>
        </w:rPr>
        <w:t>(adrese)</w:t>
      </w:r>
    </w:p>
    <w:p w14:paraId="69C1BC27" w14:textId="77777777" w:rsidR="00165EB4" w:rsidRPr="00756B85" w:rsidRDefault="00165EB4" w:rsidP="00165EB4">
      <w:p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ヒラギノ角ゴ Pro W3" w:hAnsi="Times New Roman" w:cs="Times New Roman"/>
          <w:bCs/>
          <w:i/>
          <w:iCs/>
          <w:color w:val="000000"/>
          <w:position w:val="-1"/>
          <w:sz w:val="24"/>
          <w:szCs w:val="24"/>
          <w:lang w:eastAsia="lv-LV"/>
        </w:rPr>
      </w:pPr>
    </w:p>
    <w:tbl>
      <w:tblPr>
        <w:tblpPr w:leftFromText="180" w:rightFromText="180" w:bottomFromText="160" w:vertAnchor="text" w:horzAnchor="margin" w:tblpX="5" w:tblpY="74"/>
        <w:tblW w:w="9214" w:type="dxa"/>
        <w:tblLayout w:type="fixed"/>
        <w:tblLook w:val="04A0" w:firstRow="1" w:lastRow="0" w:firstColumn="1" w:lastColumn="0" w:noHBand="0" w:noVBand="1"/>
      </w:tblPr>
      <w:tblGrid>
        <w:gridCol w:w="3828"/>
        <w:gridCol w:w="5386"/>
      </w:tblGrid>
      <w:tr w:rsidR="00165EB4" w14:paraId="271A7656" w14:textId="77777777" w:rsidTr="00AE37DD">
        <w:tc>
          <w:tcPr>
            <w:tcW w:w="3828" w:type="dxa"/>
            <w:hideMark/>
          </w:tcPr>
          <w:p w14:paraId="485C1EFA"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Amatpersonas vai pilnvarotās personas paraksts:</w:t>
            </w:r>
          </w:p>
        </w:tc>
        <w:tc>
          <w:tcPr>
            <w:tcW w:w="5386" w:type="dxa"/>
            <w:tcBorders>
              <w:top w:val="nil"/>
              <w:left w:val="nil"/>
              <w:bottom w:val="single" w:sz="4" w:space="0" w:color="000000"/>
              <w:right w:val="nil"/>
            </w:tcBorders>
            <w:hideMark/>
          </w:tcPr>
          <w:p w14:paraId="111D2B80"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r w:rsidRPr="00F903D2">
              <w:rPr>
                <w:rFonts w:ascii="Times New Roman" w:hAnsi="Times New Roman" w:cs="Times New Roman"/>
                <w:i/>
                <w:color w:val="000000" w:themeColor="text1"/>
                <w:sz w:val="20"/>
                <w:szCs w:val="20"/>
              </w:rPr>
              <w:t>Dokuments ir parakstīts ar drošu elektronisko parakstu un satur laika zīmogu vai Elektronisko iepirkumu sistēmas parakstu</w:t>
            </w:r>
          </w:p>
        </w:tc>
      </w:tr>
      <w:tr w:rsidR="00165EB4" w14:paraId="002E93B2" w14:textId="77777777" w:rsidTr="00AE37DD">
        <w:tc>
          <w:tcPr>
            <w:tcW w:w="3828" w:type="dxa"/>
            <w:hideMark/>
          </w:tcPr>
          <w:p w14:paraId="3D3A9ADB"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Parakstītāja vārds, uzvārds un amats:</w:t>
            </w:r>
          </w:p>
        </w:tc>
        <w:tc>
          <w:tcPr>
            <w:tcW w:w="5386" w:type="dxa"/>
            <w:tcBorders>
              <w:top w:val="single" w:sz="4" w:space="0" w:color="000000"/>
              <w:left w:val="nil"/>
              <w:bottom w:val="single" w:sz="4" w:space="0" w:color="auto"/>
              <w:right w:val="nil"/>
            </w:tcBorders>
          </w:tcPr>
          <w:p w14:paraId="0C53A6B1"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p>
        </w:tc>
      </w:tr>
      <w:tr w:rsidR="00165EB4" w14:paraId="7A943917" w14:textId="77777777" w:rsidTr="00AE37DD">
        <w:tc>
          <w:tcPr>
            <w:tcW w:w="3828" w:type="dxa"/>
            <w:hideMark/>
          </w:tcPr>
          <w:p w14:paraId="15E4BA68"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Pretendenta nosaukums</w:t>
            </w:r>
          </w:p>
        </w:tc>
        <w:tc>
          <w:tcPr>
            <w:tcW w:w="5386" w:type="dxa"/>
            <w:tcBorders>
              <w:top w:val="single" w:sz="4" w:space="0" w:color="000000"/>
              <w:left w:val="nil"/>
              <w:bottom w:val="single" w:sz="4" w:space="0" w:color="auto"/>
              <w:right w:val="nil"/>
            </w:tcBorders>
          </w:tcPr>
          <w:p w14:paraId="02CFD7BE"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p>
        </w:tc>
      </w:tr>
      <w:tr w:rsidR="00165EB4" w14:paraId="6AD57640" w14:textId="77777777" w:rsidTr="00AE37DD">
        <w:tc>
          <w:tcPr>
            <w:tcW w:w="3828" w:type="dxa"/>
            <w:hideMark/>
          </w:tcPr>
          <w:p w14:paraId="235F2C0A" w14:textId="77777777" w:rsidR="00165EB4" w:rsidRDefault="00165EB4" w:rsidP="00165EB4">
            <w:pPr>
              <w:suppressAutoHyphens/>
              <w:snapToGrid w:val="0"/>
              <w:spacing w:before="120" w:after="12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Datums</w:t>
            </w:r>
          </w:p>
        </w:tc>
        <w:tc>
          <w:tcPr>
            <w:tcW w:w="5386" w:type="dxa"/>
            <w:tcBorders>
              <w:top w:val="single" w:sz="4" w:space="0" w:color="auto"/>
              <w:left w:val="nil"/>
              <w:bottom w:val="single" w:sz="4" w:space="0" w:color="000000"/>
              <w:right w:val="nil"/>
            </w:tcBorders>
          </w:tcPr>
          <w:p w14:paraId="152941FE" w14:textId="77777777" w:rsidR="00165EB4" w:rsidRDefault="00165EB4" w:rsidP="00165EB4">
            <w:pPr>
              <w:suppressAutoHyphens/>
              <w:snapToGrid w:val="0"/>
              <w:spacing w:before="120" w:after="120" w:line="240" w:lineRule="auto"/>
              <w:ind w:left="1560"/>
              <w:jc w:val="both"/>
              <w:rPr>
                <w:rFonts w:ascii="Times New Roman" w:eastAsia="Times New Roman" w:hAnsi="Times New Roman" w:cs="Times New Roman"/>
                <w:szCs w:val="24"/>
              </w:rPr>
            </w:pPr>
          </w:p>
        </w:tc>
      </w:tr>
    </w:tbl>
    <w:p w14:paraId="1A26724F" w14:textId="77777777" w:rsidR="00165EB4" w:rsidRDefault="00165EB4" w:rsidP="00165EB4">
      <w:pPr>
        <w:spacing w:before="120" w:after="120" w:line="240" w:lineRule="auto"/>
        <w:rPr>
          <w:rFonts w:ascii="Times New Roman" w:eastAsia="Times New Roman" w:hAnsi="Times New Roman" w:cs="Times New Roman"/>
          <w:color w:val="00B050"/>
        </w:rPr>
      </w:pPr>
    </w:p>
    <w:p w14:paraId="4FFBFA52" w14:textId="77777777" w:rsidR="00165EB4" w:rsidRDefault="00165EB4" w:rsidP="00165EB4">
      <w:pPr>
        <w:spacing w:before="120" w:after="120"/>
      </w:pPr>
    </w:p>
    <w:p w14:paraId="10BEE96B" w14:textId="77777777" w:rsidR="00CE5F87" w:rsidRDefault="00CE5F87" w:rsidP="00165EB4">
      <w:pPr>
        <w:spacing w:before="120" w:after="120"/>
      </w:pPr>
    </w:p>
    <w:sectPr w:rsidR="00CE5F87" w:rsidSect="00165EB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93519"/>
    <w:multiLevelType w:val="hybridMultilevel"/>
    <w:tmpl w:val="8FFC5DFE"/>
    <w:lvl w:ilvl="0" w:tplc="2E781B5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6D61A6"/>
    <w:multiLevelType w:val="multilevel"/>
    <w:tmpl w:val="C3C8659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D900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694C03"/>
    <w:multiLevelType w:val="multilevel"/>
    <w:tmpl w:val="98D0D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4535865">
    <w:abstractNumId w:val="0"/>
  </w:num>
  <w:num w:numId="2" w16cid:durableId="1353527498">
    <w:abstractNumId w:val="2"/>
  </w:num>
  <w:num w:numId="3" w16cid:durableId="1900290032">
    <w:abstractNumId w:val="1"/>
  </w:num>
  <w:num w:numId="4" w16cid:durableId="1157694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B4"/>
    <w:rsid w:val="00002AED"/>
    <w:rsid w:val="0009675F"/>
    <w:rsid w:val="00165EB4"/>
    <w:rsid w:val="00283E67"/>
    <w:rsid w:val="002F46EC"/>
    <w:rsid w:val="005817D5"/>
    <w:rsid w:val="00716E01"/>
    <w:rsid w:val="007B5270"/>
    <w:rsid w:val="00941CC9"/>
    <w:rsid w:val="009F3AE0"/>
    <w:rsid w:val="00BA6267"/>
    <w:rsid w:val="00CE5F87"/>
    <w:rsid w:val="00DE7F0E"/>
    <w:rsid w:val="00F90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BEB2"/>
  <w15:chartTrackingRefBased/>
  <w15:docId w15:val="{EFCFA787-7D67-4282-B7D8-89CFB230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5EB4"/>
    <w:pPr>
      <w:spacing w:line="256" w:lineRule="auto"/>
    </w:pPr>
    <w:rPr>
      <w:rFonts w:eastAsiaTheme="minorHAns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paragraph" w:styleId="Sarakstarindkopa">
    <w:name w:val="List Paragraph"/>
    <w:basedOn w:val="Parasts"/>
    <w:uiPriority w:val="34"/>
    <w:qFormat/>
    <w:rsid w:val="00165EB4"/>
    <w:pPr>
      <w:ind w:left="720"/>
      <w:contextualSpacing/>
    </w:pPr>
  </w:style>
  <w:style w:type="character" w:styleId="Komentraatsauce">
    <w:name w:val="annotation reference"/>
    <w:basedOn w:val="Noklusjumarindkopasfonts"/>
    <w:uiPriority w:val="99"/>
    <w:semiHidden/>
    <w:unhideWhenUsed/>
    <w:rsid w:val="002F46EC"/>
    <w:rPr>
      <w:sz w:val="16"/>
      <w:szCs w:val="16"/>
    </w:rPr>
  </w:style>
  <w:style w:type="paragraph" w:styleId="Komentrateksts">
    <w:name w:val="annotation text"/>
    <w:basedOn w:val="Parasts"/>
    <w:link w:val="KomentratekstsRakstz"/>
    <w:uiPriority w:val="99"/>
    <w:unhideWhenUsed/>
    <w:rsid w:val="002F46EC"/>
    <w:pPr>
      <w:spacing w:line="240" w:lineRule="auto"/>
    </w:pPr>
    <w:rPr>
      <w:sz w:val="20"/>
      <w:szCs w:val="20"/>
    </w:rPr>
  </w:style>
  <w:style w:type="character" w:customStyle="1" w:styleId="KomentratekstsRakstz">
    <w:name w:val="Komentāra teksts Rakstz."/>
    <w:basedOn w:val="Noklusjumarindkopasfonts"/>
    <w:link w:val="Komentrateksts"/>
    <w:uiPriority w:val="99"/>
    <w:rsid w:val="002F46EC"/>
    <w:rPr>
      <w:rFonts w:eastAsiaTheme="minorHAnsi"/>
      <w:sz w:val="20"/>
      <w:szCs w:val="20"/>
    </w:rPr>
  </w:style>
  <w:style w:type="paragraph" w:styleId="Komentratma">
    <w:name w:val="annotation subject"/>
    <w:basedOn w:val="Komentrateksts"/>
    <w:next w:val="Komentrateksts"/>
    <w:link w:val="KomentratmaRakstz"/>
    <w:uiPriority w:val="99"/>
    <w:semiHidden/>
    <w:unhideWhenUsed/>
    <w:rsid w:val="002F46EC"/>
    <w:rPr>
      <w:b/>
      <w:bCs/>
    </w:rPr>
  </w:style>
  <w:style w:type="character" w:customStyle="1" w:styleId="KomentratmaRakstz">
    <w:name w:val="Komentāra tēma Rakstz."/>
    <w:basedOn w:val="KomentratekstsRakstz"/>
    <w:link w:val="Komentratma"/>
    <w:uiPriority w:val="99"/>
    <w:semiHidden/>
    <w:rsid w:val="002F46EC"/>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752854">
      <w:bodyDiv w:val="1"/>
      <w:marLeft w:val="0"/>
      <w:marRight w:val="0"/>
      <w:marTop w:val="0"/>
      <w:marBottom w:val="0"/>
      <w:divBdr>
        <w:top w:val="none" w:sz="0" w:space="0" w:color="auto"/>
        <w:left w:val="none" w:sz="0" w:space="0" w:color="auto"/>
        <w:bottom w:val="none" w:sz="0" w:space="0" w:color="auto"/>
        <w:right w:val="none" w:sz="0" w:space="0" w:color="auto"/>
      </w:divBdr>
    </w:div>
    <w:div w:id="1626306898">
      <w:bodyDiv w:val="1"/>
      <w:marLeft w:val="0"/>
      <w:marRight w:val="0"/>
      <w:marTop w:val="0"/>
      <w:marBottom w:val="0"/>
      <w:divBdr>
        <w:top w:val="none" w:sz="0" w:space="0" w:color="auto"/>
        <w:left w:val="none" w:sz="0" w:space="0" w:color="auto"/>
        <w:bottom w:val="none" w:sz="0" w:space="0" w:color="auto"/>
        <w:right w:val="none" w:sz="0" w:space="0" w:color="auto"/>
      </w:divBdr>
    </w:div>
    <w:div w:id="171423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FE07-52A0-4C82-A0F7-EF1B17DD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3</cp:revision>
  <dcterms:created xsi:type="dcterms:W3CDTF">2024-12-10T07:21:00Z</dcterms:created>
  <dcterms:modified xsi:type="dcterms:W3CDTF">2024-12-10T07:43:00Z</dcterms:modified>
</cp:coreProperties>
</file>